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5" w:type="dxa"/>
        <w:tblCellSpacing w:w="0" w:type="dxa"/>
        <w:tblCellMar>
          <w:left w:w="0" w:type="dxa"/>
          <w:right w:w="0" w:type="dxa"/>
        </w:tblCellMar>
        <w:tblLook w:val="04A0"/>
      </w:tblPr>
      <w:tblGrid>
        <w:gridCol w:w="4785"/>
        <w:gridCol w:w="5250"/>
      </w:tblGrid>
      <w:tr w:rsidR="00EE5500" w:rsidRPr="00EE5500" w:rsidTr="00EE5500">
        <w:trPr>
          <w:tblCellSpacing w:w="0" w:type="dxa"/>
        </w:trPr>
        <w:tc>
          <w:tcPr>
            <w:tcW w:w="4785" w:type="dxa"/>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CÔNG TY C</w:t>
            </w:r>
            <w:r w:rsidRPr="00EE5500">
              <w:rPr>
                <w:rFonts w:ascii="Arial" w:eastAsia="Times New Roman" w:hAnsi="Arial" w:cs="Arial"/>
                <w:b/>
                <w:bCs/>
                <w:sz w:val="24"/>
                <w:szCs w:val="24"/>
              </w:rPr>
              <w:t>Ổ</w:t>
            </w:r>
            <w:r w:rsidRPr="00EE5500">
              <w:rPr>
                <w:rFonts w:ascii="Times New Roman" w:eastAsia="Times New Roman" w:hAnsi="Times New Roman" w:cs="Times New Roman"/>
                <w:b/>
                <w:bCs/>
                <w:sz w:val="24"/>
                <w:szCs w:val="24"/>
              </w:rPr>
              <w:t xml:space="preserve"> PH</w:t>
            </w:r>
            <w:r w:rsidRPr="00EE5500">
              <w:rPr>
                <w:rFonts w:ascii="Arial" w:eastAsia="Times New Roman" w:hAnsi="Arial" w:cs="Arial"/>
                <w:b/>
                <w:bCs/>
                <w:sz w:val="24"/>
                <w:szCs w:val="24"/>
              </w:rPr>
              <w:t>Ầ</w:t>
            </w:r>
            <w:r w:rsidRPr="00EE5500">
              <w:rPr>
                <w:rFonts w:ascii="Times New Roman" w:eastAsia="Times New Roman" w:hAnsi="Times New Roman" w:cs="Times New Roman"/>
                <w:b/>
                <w:bCs/>
                <w:sz w:val="24"/>
                <w:szCs w:val="24"/>
              </w:rPr>
              <w:t>N</w:t>
            </w:r>
          </w:p>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BỘT GIẶT VÀ HÓA CHẤT ĐỨC GIANG</w:t>
            </w:r>
          </w:p>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Số 01/2013/NQ-ĐHĐCĐ</w:t>
            </w:r>
          </w:p>
        </w:tc>
        <w:tc>
          <w:tcPr>
            <w:tcW w:w="5250" w:type="dxa"/>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CỘNG HÒA XÃ HỘI CHỦ NGHĨA VIỆT NAM</w:t>
            </w:r>
          </w:p>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Độc lập - Tự do - Hạnh phúc</w:t>
            </w:r>
          </w:p>
        </w:tc>
      </w:tr>
    </w:tbl>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i/>
          <w:iCs/>
          <w:sz w:val="24"/>
          <w:szCs w:val="24"/>
        </w:rPr>
        <w:t>Hà nội, ngày 23 tháng 03 năm 2013</w:t>
      </w:r>
    </w:p>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NGHỊ QUYẾT</w:t>
      </w:r>
    </w:p>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ĐẠI HỘI ĐỒNG CỔ ĐÔNG THƯỜNG  NIÊN NĂM TÀI CHÍNH 2012</w:t>
      </w:r>
    </w:p>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ĐẠI HỘI ĐỒNG CỔ ĐÔNG</w:t>
      </w:r>
    </w:p>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CÔNG TY CỔ PHẦN BỘT GIẶT VÀ HÓA CHẤT ĐỨC GIANG</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xml:space="preserve">-              </w:t>
      </w:r>
      <w:r w:rsidRPr="00EE5500">
        <w:rPr>
          <w:rFonts w:ascii="Times New Roman" w:eastAsia="Times New Roman" w:hAnsi="Times New Roman" w:cs="Times New Roman"/>
          <w:i/>
          <w:iCs/>
          <w:sz w:val="24"/>
          <w:szCs w:val="24"/>
        </w:rPr>
        <w:t>Căn cứ Luật doanh nghiệp 2005 được Quốc hội nước Cộng hoà xã hội chủ nghĩa Việt Nam thông qua ngày 29/11/2005;</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xml:space="preserve">-              </w:t>
      </w:r>
      <w:r w:rsidRPr="00EE5500">
        <w:rPr>
          <w:rFonts w:ascii="Times New Roman" w:eastAsia="Times New Roman" w:hAnsi="Times New Roman" w:cs="Times New Roman"/>
          <w:i/>
          <w:iCs/>
          <w:sz w:val="24"/>
          <w:szCs w:val="24"/>
        </w:rPr>
        <w:t xml:space="preserve">Căn cứ vào quyết định số 135/2003/QĐ-BCN ngày 26/08/2003 và số 10/2004/QĐ-BCN của Bộ trưởng Bộ công nghiệp về việc </w:t>
      </w:r>
      <w:r w:rsidRPr="00EE5500">
        <w:rPr>
          <w:rFonts w:ascii="Times New Roman" w:eastAsia="Times New Roman" w:hAnsi="Times New Roman" w:cs="Times New Roman"/>
          <w:b/>
          <w:bCs/>
          <w:i/>
          <w:iCs/>
          <w:sz w:val="24"/>
          <w:szCs w:val="24"/>
        </w:rPr>
        <w:t>“Chuyển công ty hóa chất Đức Giang thành Công ty cổ phần Bột giặt và Hóa chất Đức Giang”</w:t>
      </w:r>
      <w:r w:rsidRPr="00EE5500">
        <w:rPr>
          <w:rFonts w:ascii="Times New Roman" w:eastAsia="Times New Roman" w:hAnsi="Times New Roman" w:cs="Times New Roman"/>
          <w:i/>
          <w:iCs/>
          <w:sz w:val="24"/>
          <w:szCs w:val="24"/>
        </w:rPr>
        <w:t>;</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xml:space="preserve">-              </w:t>
      </w:r>
      <w:r w:rsidRPr="00EE5500">
        <w:rPr>
          <w:rFonts w:ascii="Times New Roman" w:eastAsia="Times New Roman" w:hAnsi="Times New Roman" w:cs="Times New Roman"/>
          <w:i/>
          <w:iCs/>
          <w:sz w:val="24"/>
          <w:szCs w:val="24"/>
        </w:rPr>
        <w:t>Căn cứ Điều lệ Công ty cổ phần Bột giặt và Hóa chất Đức Giang;</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xml:space="preserve">-              </w:t>
      </w:r>
      <w:r w:rsidRPr="00EE5500">
        <w:rPr>
          <w:rFonts w:ascii="Times New Roman" w:eastAsia="Times New Roman" w:hAnsi="Times New Roman" w:cs="Times New Roman"/>
          <w:i/>
          <w:iCs/>
          <w:sz w:val="24"/>
          <w:szCs w:val="24"/>
        </w:rPr>
        <w:t>Căn cứ Biên bản Đại hội đồng cổ đông thường niên năm tài chính 2012 của Công ty cổ phần Bột giặt và Hóa chất Đức Giang ngày 23/03/2013.</w:t>
      </w:r>
    </w:p>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QUYẾT NGHỊ: </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Điều 1: Thông qua các văn kiện với các nội dung cụ thể như sau:</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I. Thông qua Báo cáo tài chính đã được kiểm toán năm 2012.</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Doanh thu: 361.862.075.817 VND</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Lợi nhuận trước thuế: 168.613.222.100 VND</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Lợi nhuận sau thuế TNDN: 165.046.632.637VND</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Lãi cơ bản trên cổ phiếu: 10.017 VND</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II. Phương án phân chia lợi nhuận năm 2012</w:t>
      </w:r>
    </w:p>
    <w:tbl>
      <w:tblPr>
        <w:tblW w:w="9945" w:type="dxa"/>
        <w:tblCellSpacing w:w="0" w:type="dxa"/>
        <w:tblCellMar>
          <w:left w:w="0" w:type="dxa"/>
          <w:right w:w="0" w:type="dxa"/>
        </w:tblCellMar>
        <w:tblLook w:val="04A0"/>
      </w:tblPr>
      <w:tblGrid>
        <w:gridCol w:w="765"/>
        <w:gridCol w:w="5775"/>
        <w:gridCol w:w="2265"/>
        <w:gridCol w:w="1140"/>
      </w:tblGrid>
      <w:tr w:rsidR="00EE5500" w:rsidRPr="00EE5500" w:rsidTr="00EE5500">
        <w:trPr>
          <w:tblCellSpacing w:w="0" w:type="dxa"/>
        </w:trPr>
        <w:tc>
          <w:tcPr>
            <w:tcW w:w="765" w:type="dxa"/>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lastRenderedPageBreak/>
              <w:t>STT</w:t>
            </w:r>
          </w:p>
        </w:tc>
        <w:tc>
          <w:tcPr>
            <w:tcW w:w="5775" w:type="dxa"/>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Chỉ tiêu</w:t>
            </w:r>
          </w:p>
        </w:tc>
        <w:tc>
          <w:tcPr>
            <w:tcW w:w="2265" w:type="dxa"/>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Phân chia lợi nhuận (VND)</w:t>
            </w:r>
          </w:p>
        </w:tc>
        <w:tc>
          <w:tcPr>
            <w:tcW w:w="1140" w:type="dxa"/>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Tỷ lệ</w:t>
            </w:r>
          </w:p>
        </w:tc>
      </w:tr>
      <w:tr w:rsidR="00EE5500" w:rsidRPr="00EE5500" w:rsidTr="00EE5500">
        <w:trPr>
          <w:tblCellSpacing w:w="0" w:type="dxa"/>
        </w:trPr>
        <w:tc>
          <w:tcPr>
            <w:tcW w:w="765" w:type="dxa"/>
            <w:vAlign w:val="bottom"/>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1</w:t>
            </w:r>
          </w:p>
        </w:tc>
        <w:tc>
          <w:tcPr>
            <w:tcW w:w="5775"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Tổng lợi nhuận trước thuế</w:t>
            </w:r>
          </w:p>
        </w:tc>
        <w:tc>
          <w:tcPr>
            <w:tcW w:w="2265" w:type="dxa"/>
            <w:vAlign w:val="bottom"/>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168 613 222 100</w:t>
            </w:r>
          </w:p>
        </w:tc>
        <w:tc>
          <w:tcPr>
            <w:tcW w:w="1140" w:type="dxa"/>
            <w:vAlign w:val="bottom"/>
            <w:hideMark/>
          </w:tcPr>
          <w:p w:rsidR="00EE5500" w:rsidRPr="00EE5500" w:rsidRDefault="00EE5500" w:rsidP="00EE5500">
            <w:pPr>
              <w:spacing w:after="0" w:line="240" w:lineRule="auto"/>
              <w:rPr>
                <w:rFonts w:ascii="Times New Roman" w:eastAsia="Times New Roman" w:hAnsi="Times New Roman" w:cs="Times New Roman"/>
                <w:sz w:val="24"/>
                <w:szCs w:val="24"/>
              </w:rPr>
            </w:pPr>
          </w:p>
        </w:tc>
      </w:tr>
      <w:tr w:rsidR="00EE5500" w:rsidRPr="00EE5500" w:rsidTr="00EE5500">
        <w:trPr>
          <w:tblCellSpacing w:w="0" w:type="dxa"/>
        </w:trPr>
        <w:tc>
          <w:tcPr>
            <w:tcW w:w="765" w:type="dxa"/>
            <w:vAlign w:val="bottom"/>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5775"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Lợi nhuận từ hoạt động SXKD tại Công ty</w:t>
            </w:r>
          </w:p>
        </w:tc>
        <w:tc>
          <w:tcPr>
            <w:tcW w:w="2265" w:type="dxa"/>
            <w:vAlign w:val="bottom"/>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18 868 865 793</w:t>
            </w:r>
          </w:p>
        </w:tc>
        <w:tc>
          <w:tcPr>
            <w:tcW w:w="1140"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r>
      <w:tr w:rsidR="00EE5500" w:rsidRPr="00EE5500" w:rsidTr="00EE5500">
        <w:trPr>
          <w:tblCellSpacing w:w="0" w:type="dxa"/>
        </w:trPr>
        <w:tc>
          <w:tcPr>
            <w:tcW w:w="765" w:type="dxa"/>
            <w:vAlign w:val="bottom"/>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5775"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Lợi nhuận từ công ty con</w:t>
            </w:r>
          </w:p>
        </w:tc>
        <w:tc>
          <w:tcPr>
            <w:tcW w:w="2265" w:type="dxa"/>
            <w:vAlign w:val="bottom"/>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147 936 215 348</w:t>
            </w:r>
          </w:p>
        </w:tc>
        <w:tc>
          <w:tcPr>
            <w:tcW w:w="1140"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r>
      <w:tr w:rsidR="00EE5500" w:rsidRPr="00EE5500" w:rsidTr="00EE5500">
        <w:trPr>
          <w:tblCellSpacing w:w="0" w:type="dxa"/>
        </w:trPr>
        <w:tc>
          <w:tcPr>
            <w:tcW w:w="765" w:type="dxa"/>
            <w:vAlign w:val="bottom"/>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5775"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Lợi nhuận từ công ty liên doanh liên kết</w:t>
            </w:r>
          </w:p>
        </w:tc>
        <w:tc>
          <w:tcPr>
            <w:tcW w:w="2265" w:type="dxa"/>
            <w:vAlign w:val="bottom"/>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1 808 140 959</w:t>
            </w:r>
          </w:p>
        </w:tc>
        <w:tc>
          <w:tcPr>
            <w:tcW w:w="1140"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r>
      <w:tr w:rsidR="00EE5500" w:rsidRPr="00EE5500" w:rsidTr="00EE5500">
        <w:trPr>
          <w:tblCellSpacing w:w="0" w:type="dxa"/>
        </w:trPr>
        <w:tc>
          <w:tcPr>
            <w:tcW w:w="765" w:type="dxa"/>
            <w:vAlign w:val="bottom"/>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2</w:t>
            </w:r>
          </w:p>
        </w:tc>
        <w:tc>
          <w:tcPr>
            <w:tcW w:w="5775"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Thuế TNDN 25%</w:t>
            </w:r>
          </w:p>
        </w:tc>
        <w:tc>
          <w:tcPr>
            <w:tcW w:w="2265" w:type="dxa"/>
            <w:vAlign w:val="bottom"/>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5 041 815 926</w:t>
            </w:r>
          </w:p>
        </w:tc>
        <w:tc>
          <w:tcPr>
            <w:tcW w:w="1140" w:type="dxa"/>
            <w:vAlign w:val="bottom"/>
            <w:hideMark/>
          </w:tcPr>
          <w:p w:rsidR="00EE5500" w:rsidRPr="00EE5500" w:rsidRDefault="00EE5500" w:rsidP="00EE5500">
            <w:pPr>
              <w:spacing w:after="0" w:line="240" w:lineRule="auto"/>
              <w:rPr>
                <w:rFonts w:ascii="Times New Roman" w:eastAsia="Times New Roman" w:hAnsi="Times New Roman" w:cs="Times New Roman"/>
                <w:sz w:val="24"/>
                <w:szCs w:val="24"/>
              </w:rPr>
            </w:pPr>
          </w:p>
        </w:tc>
      </w:tr>
      <w:tr w:rsidR="00EE5500" w:rsidRPr="00EE5500" w:rsidTr="00EE5500">
        <w:trPr>
          <w:tblCellSpacing w:w="0" w:type="dxa"/>
        </w:trPr>
        <w:tc>
          <w:tcPr>
            <w:tcW w:w="765" w:type="dxa"/>
            <w:vAlign w:val="bottom"/>
            <w:hideMark/>
          </w:tcPr>
          <w:p w:rsidR="00EE5500" w:rsidRPr="00EE5500" w:rsidRDefault="00EE5500" w:rsidP="00EE5500">
            <w:pPr>
              <w:spacing w:after="0" w:line="240" w:lineRule="auto"/>
              <w:rPr>
                <w:rFonts w:ascii="Times New Roman" w:eastAsia="Times New Roman" w:hAnsi="Times New Roman" w:cs="Times New Roman"/>
                <w:sz w:val="24"/>
                <w:szCs w:val="24"/>
              </w:rPr>
            </w:pPr>
          </w:p>
        </w:tc>
        <w:tc>
          <w:tcPr>
            <w:tcW w:w="5775"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Trong đó: Số thuế TNDN phải nộp</w:t>
            </w:r>
          </w:p>
        </w:tc>
        <w:tc>
          <w:tcPr>
            <w:tcW w:w="2265" w:type="dxa"/>
            <w:vAlign w:val="bottom"/>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i/>
                <w:iCs/>
                <w:sz w:val="24"/>
                <w:szCs w:val="24"/>
              </w:rPr>
              <w:t>3 566 589 463</w:t>
            </w:r>
          </w:p>
        </w:tc>
        <w:tc>
          <w:tcPr>
            <w:tcW w:w="1140" w:type="dxa"/>
            <w:vAlign w:val="bottom"/>
            <w:hideMark/>
          </w:tcPr>
          <w:p w:rsidR="00EE5500" w:rsidRPr="00EE5500" w:rsidRDefault="00EE5500" w:rsidP="00EE5500">
            <w:pPr>
              <w:spacing w:after="0" w:line="240" w:lineRule="auto"/>
              <w:rPr>
                <w:rFonts w:ascii="Times New Roman" w:eastAsia="Times New Roman" w:hAnsi="Times New Roman" w:cs="Times New Roman"/>
                <w:sz w:val="24"/>
                <w:szCs w:val="24"/>
              </w:rPr>
            </w:pPr>
          </w:p>
        </w:tc>
      </w:tr>
      <w:tr w:rsidR="00EE5500" w:rsidRPr="00EE5500" w:rsidTr="00EE5500">
        <w:trPr>
          <w:tblCellSpacing w:w="0" w:type="dxa"/>
        </w:trPr>
        <w:tc>
          <w:tcPr>
            <w:tcW w:w="765" w:type="dxa"/>
            <w:vAlign w:val="bottom"/>
            <w:hideMark/>
          </w:tcPr>
          <w:p w:rsidR="00EE5500" w:rsidRPr="00EE5500" w:rsidRDefault="00EE5500" w:rsidP="00EE5500">
            <w:pPr>
              <w:spacing w:after="0" w:line="240" w:lineRule="auto"/>
              <w:rPr>
                <w:rFonts w:ascii="Times New Roman" w:eastAsia="Times New Roman" w:hAnsi="Times New Roman" w:cs="Times New Roman"/>
                <w:sz w:val="24"/>
                <w:szCs w:val="24"/>
              </w:rPr>
            </w:pPr>
          </w:p>
        </w:tc>
        <w:tc>
          <w:tcPr>
            <w:tcW w:w="5775"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Thuế TNDN được giảm 30%</w:t>
            </w:r>
          </w:p>
        </w:tc>
        <w:tc>
          <w:tcPr>
            <w:tcW w:w="2265" w:type="dxa"/>
            <w:vAlign w:val="bottom"/>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i/>
                <w:iCs/>
                <w:sz w:val="24"/>
                <w:szCs w:val="24"/>
              </w:rPr>
              <w:t>1 475 226 463</w:t>
            </w:r>
          </w:p>
        </w:tc>
        <w:tc>
          <w:tcPr>
            <w:tcW w:w="1140" w:type="dxa"/>
            <w:vAlign w:val="bottom"/>
            <w:hideMark/>
          </w:tcPr>
          <w:p w:rsidR="00EE5500" w:rsidRPr="00EE5500" w:rsidRDefault="00EE5500" w:rsidP="00EE5500">
            <w:pPr>
              <w:spacing w:after="0" w:line="240" w:lineRule="auto"/>
              <w:rPr>
                <w:rFonts w:ascii="Times New Roman" w:eastAsia="Times New Roman" w:hAnsi="Times New Roman" w:cs="Times New Roman"/>
                <w:sz w:val="24"/>
                <w:szCs w:val="24"/>
              </w:rPr>
            </w:pPr>
          </w:p>
        </w:tc>
      </w:tr>
      <w:tr w:rsidR="00EE5500" w:rsidRPr="00EE5500" w:rsidTr="00EE5500">
        <w:trPr>
          <w:tblCellSpacing w:w="0" w:type="dxa"/>
        </w:trPr>
        <w:tc>
          <w:tcPr>
            <w:tcW w:w="765" w:type="dxa"/>
            <w:vAlign w:val="bottom"/>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3</w:t>
            </w:r>
          </w:p>
        </w:tc>
        <w:tc>
          <w:tcPr>
            <w:tcW w:w="5775"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Lợi nhuận còn lại sau thuế</w:t>
            </w:r>
          </w:p>
        </w:tc>
        <w:tc>
          <w:tcPr>
            <w:tcW w:w="2265" w:type="dxa"/>
            <w:vAlign w:val="bottom"/>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163 571 406 174</w:t>
            </w:r>
          </w:p>
        </w:tc>
        <w:tc>
          <w:tcPr>
            <w:tcW w:w="1140" w:type="dxa"/>
            <w:vAlign w:val="bottom"/>
            <w:hideMark/>
          </w:tcPr>
          <w:p w:rsidR="00EE5500" w:rsidRPr="00EE5500" w:rsidRDefault="00EE5500" w:rsidP="00EE5500">
            <w:pPr>
              <w:spacing w:after="0" w:line="240" w:lineRule="auto"/>
              <w:rPr>
                <w:rFonts w:ascii="Times New Roman" w:eastAsia="Times New Roman" w:hAnsi="Times New Roman" w:cs="Times New Roman"/>
                <w:sz w:val="24"/>
                <w:szCs w:val="24"/>
              </w:rPr>
            </w:pPr>
          </w:p>
        </w:tc>
      </w:tr>
      <w:tr w:rsidR="00EE5500" w:rsidRPr="00EE5500" w:rsidTr="00EE5500">
        <w:trPr>
          <w:tblCellSpacing w:w="0" w:type="dxa"/>
        </w:trPr>
        <w:tc>
          <w:tcPr>
            <w:tcW w:w="765" w:type="dxa"/>
            <w:vAlign w:val="bottom"/>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3.1</w:t>
            </w:r>
          </w:p>
        </w:tc>
        <w:tc>
          <w:tcPr>
            <w:tcW w:w="5775"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Trích 5% Quỹ dự phòng tài chính  (3.1 = 3 x 5%)</w:t>
            </w:r>
          </w:p>
        </w:tc>
        <w:tc>
          <w:tcPr>
            <w:tcW w:w="2265" w:type="dxa"/>
            <w:vAlign w:val="bottom"/>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8 178 570 309</w:t>
            </w:r>
          </w:p>
        </w:tc>
        <w:tc>
          <w:tcPr>
            <w:tcW w:w="1140"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r>
      <w:tr w:rsidR="00EE5500" w:rsidRPr="00EE5500" w:rsidTr="00EE5500">
        <w:trPr>
          <w:tblCellSpacing w:w="0" w:type="dxa"/>
        </w:trPr>
        <w:tc>
          <w:tcPr>
            <w:tcW w:w="765" w:type="dxa"/>
            <w:vAlign w:val="bottom"/>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3.2</w:t>
            </w:r>
          </w:p>
        </w:tc>
        <w:tc>
          <w:tcPr>
            <w:tcW w:w="5775"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Trích 5% Quỹ đầu tư phát triển (3.2 = 3 x 5%)</w:t>
            </w:r>
          </w:p>
        </w:tc>
        <w:tc>
          <w:tcPr>
            <w:tcW w:w="2265" w:type="dxa"/>
            <w:vAlign w:val="bottom"/>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8 178 570 309</w:t>
            </w:r>
          </w:p>
        </w:tc>
        <w:tc>
          <w:tcPr>
            <w:tcW w:w="1140"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r>
      <w:tr w:rsidR="00EE5500" w:rsidRPr="00EE5500" w:rsidTr="00EE5500">
        <w:trPr>
          <w:tblCellSpacing w:w="0" w:type="dxa"/>
        </w:trPr>
        <w:tc>
          <w:tcPr>
            <w:tcW w:w="765" w:type="dxa"/>
            <w:vAlign w:val="bottom"/>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3.3</w:t>
            </w:r>
          </w:p>
        </w:tc>
        <w:tc>
          <w:tcPr>
            <w:tcW w:w="5775"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Trích quỹ khen thưởng phúc lợi(6%) (3.3 = 3 x 6%)</w:t>
            </w:r>
          </w:p>
        </w:tc>
        <w:tc>
          <w:tcPr>
            <w:tcW w:w="2265" w:type="dxa"/>
            <w:vAlign w:val="bottom"/>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9 814 284 370</w:t>
            </w:r>
          </w:p>
        </w:tc>
        <w:tc>
          <w:tcPr>
            <w:tcW w:w="1140"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r>
      <w:tr w:rsidR="00EE5500" w:rsidRPr="00EE5500" w:rsidTr="00EE5500">
        <w:trPr>
          <w:tblCellSpacing w:w="0" w:type="dxa"/>
        </w:trPr>
        <w:tc>
          <w:tcPr>
            <w:tcW w:w="765" w:type="dxa"/>
            <w:vAlign w:val="bottom"/>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4</w:t>
            </w:r>
          </w:p>
        </w:tc>
        <w:tc>
          <w:tcPr>
            <w:tcW w:w="5775"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Lợi nhuận còn lại sau khi trích các quỹ (4 = 3 - 3.1 - 3.2)</w:t>
            </w:r>
          </w:p>
        </w:tc>
        <w:tc>
          <w:tcPr>
            <w:tcW w:w="2265" w:type="dxa"/>
            <w:vAlign w:val="bottom"/>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137.399.981.186 </w:t>
            </w:r>
          </w:p>
        </w:tc>
        <w:tc>
          <w:tcPr>
            <w:tcW w:w="1140" w:type="dxa"/>
            <w:vAlign w:val="bottom"/>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62,45%</w:t>
            </w:r>
          </w:p>
        </w:tc>
      </w:tr>
      <w:tr w:rsidR="00EE5500" w:rsidRPr="00EE5500" w:rsidTr="00EE5500">
        <w:trPr>
          <w:tblCellSpacing w:w="0" w:type="dxa"/>
        </w:trPr>
        <w:tc>
          <w:tcPr>
            <w:tcW w:w="765" w:type="dxa"/>
            <w:vAlign w:val="bottom"/>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5</w:t>
            </w:r>
          </w:p>
        </w:tc>
        <w:tc>
          <w:tcPr>
            <w:tcW w:w="5775"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Đã tạm ứng cổ tức lần 1 năm 2012: 10%</w:t>
            </w:r>
          </w:p>
        </w:tc>
        <w:tc>
          <w:tcPr>
            <w:tcW w:w="2265" w:type="dxa"/>
            <w:vAlign w:val="bottom"/>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21 999 936 000</w:t>
            </w:r>
          </w:p>
        </w:tc>
        <w:tc>
          <w:tcPr>
            <w:tcW w:w="1140" w:type="dxa"/>
            <w:vAlign w:val="bottom"/>
            <w:hideMark/>
          </w:tcPr>
          <w:p w:rsidR="00EE5500" w:rsidRPr="00EE5500" w:rsidRDefault="00EE5500" w:rsidP="00EE5500">
            <w:pPr>
              <w:spacing w:after="0" w:line="240" w:lineRule="auto"/>
              <w:rPr>
                <w:rFonts w:ascii="Times New Roman" w:eastAsia="Times New Roman" w:hAnsi="Times New Roman" w:cs="Times New Roman"/>
                <w:sz w:val="24"/>
                <w:szCs w:val="24"/>
              </w:rPr>
            </w:pPr>
          </w:p>
        </w:tc>
      </w:tr>
      <w:tr w:rsidR="00EE5500" w:rsidRPr="00EE5500" w:rsidTr="00EE5500">
        <w:trPr>
          <w:tblCellSpacing w:w="0" w:type="dxa"/>
        </w:trPr>
        <w:tc>
          <w:tcPr>
            <w:tcW w:w="765" w:type="dxa"/>
            <w:vAlign w:val="bottom"/>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6</w:t>
            </w:r>
          </w:p>
        </w:tc>
        <w:tc>
          <w:tcPr>
            <w:tcW w:w="5775"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Tổng lợi nhuận còn lại sau khi trích lập các quỹ</w:t>
            </w:r>
          </w:p>
        </w:tc>
        <w:tc>
          <w:tcPr>
            <w:tcW w:w="2265" w:type="dxa"/>
            <w:vAlign w:val="bottom"/>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115 452 775 886</w:t>
            </w:r>
          </w:p>
        </w:tc>
        <w:tc>
          <w:tcPr>
            <w:tcW w:w="1140" w:type="dxa"/>
            <w:vAlign w:val="bottom"/>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52,48%</w:t>
            </w:r>
          </w:p>
        </w:tc>
      </w:tr>
      <w:tr w:rsidR="00EE5500" w:rsidRPr="00EE5500" w:rsidTr="00EE5500">
        <w:trPr>
          <w:tblCellSpacing w:w="0" w:type="dxa"/>
        </w:trPr>
        <w:tc>
          <w:tcPr>
            <w:tcW w:w="765" w:type="dxa"/>
            <w:vAlign w:val="bottom"/>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7</w:t>
            </w:r>
          </w:p>
        </w:tc>
        <w:tc>
          <w:tcPr>
            <w:tcW w:w="5775"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Trả cổ tức bằng cổ phiếu lần 2 năm 2012 (</w:t>
            </w:r>
            <w:r w:rsidRPr="00EE5500">
              <w:rPr>
                <w:rFonts w:ascii="Times New Roman" w:eastAsia="Times New Roman" w:hAnsi="Times New Roman" w:cs="Times New Roman"/>
                <w:b/>
                <w:bCs/>
                <w:sz w:val="24"/>
                <w:szCs w:val="24"/>
              </w:rPr>
              <w:t>(Giao cho HĐQT chốt ngày nhận cổ tức lần 2 năm 2012)</w:t>
            </w:r>
          </w:p>
        </w:tc>
        <w:tc>
          <w:tcPr>
            <w:tcW w:w="2265" w:type="dxa"/>
            <w:vAlign w:val="bottom"/>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115 000 000 000 </w:t>
            </w:r>
          </w:p>
        </w:tc>
        <w:tc>
          <w:tcPr>
            <w:tcW w:w="1140" w:type="dxa"/>
            <w:vAlign w:val="bottom"/>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52,27%</w:t>
            </w:r>
          </w:p>
        </w:tc>
      </w:tr>
      <w:tr w:rsidR="00EE5500" w:rsidRPr="00EE5500" w:rsidTr="00EE5500">
        <w:trPr>
          <w:tblCellSpacing w:w="0" w:type="dxa"/>
        </w:trPr>
        <w:tc>
          <w:tcPr>
            <w:tcW w:w="765" w:type="dxa"/>
            <w:vAlign w:val="bottom"/>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8</w:t>
            </w:r>
          </w:p>
        </w:tc>
        <w:tc>
          <w:tcPr>
            <w:tcW w:w="5775"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Lợi nhuận còn lại chưa phân phối</w:t>
            </w:r>
          </w:p>
        </w:tc>
        <w:tc>
          <w:tcPr>
            <w:tcW w:w="2265" w:type="dxa"/>
            <w:vAlign w:val="bottom"/>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400 045 186</w:t>
            </w:r>
          </w:p>
        </w:tc>
        <w:tc>
          <w:tcPr>
            <w:tcW w:w="1140" w:type="dxa"/>
            <w:vAlign w:val="bottom"/>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r>
    </w:tbl>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III. Kế hoạch sản xuất kinh doanh năm 2013</w:t>
      </w:r>
    </w:p>
    <w:p w:rsidR="00EE5500" w:rsidRPr="00EE5500" w:rsidRDefault="00EE5500" w:rsidP="00EE550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5500">
        <w:rPr>
          <w:rFonts w:ascii="Times New Roman" w:eastAsia="Times New Roman" w:hAnsi="Times New Roman" w:cs="Times New Roman"/>
          <w:b/>
          <w:bCs/>
          <w:kern w:val="36"/>
          <w:sz w:val="48"/>
          <w:szCs w:val="48"/>
        </w:rPr>
        <w:t>A. Chỉ tiêu sản xuất</w:t>
      </w:r>
    </w:p>
    <w:tbl>
      <w:tblPr>
        <w:tblW w:w="103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3120"/>
        <w:gridCol w:w="1320"/>
        <w:gridCol w:w="1725"/>
        <w:gridCol w:w="1725"/>
        <w:gridCol w:w="1680"/>
      </w:tblGrid>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after="0" w:line="240" w:lineRule="auto"/>
              <w:rPr>
                <w:rFonts w:ascii="Times New Roman" w:eastAsia="Times New Roman" w:hAnsi="Times New Roman" w:cs="Times New Roman"/>
                <w:sz w:val="24"/>
                <w:szCs w:val="24"/>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Tên sản phẩm </w:t>
            </w:r>
          </w:p>
        </w:tc>
        <w:tc>
          <w:tcPr>
            <w:tcW w:w="132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Sản lượng </w:t>
            </w:r>
          </w:p>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(tấn) </w:t>
            </w:r>
          </w:p>
        </w:tc>
        <w:tc>
          <w:tcPr>
            <w:tcW w:w="1725"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Kế hoạch 2013 </w:t>
            </w:r>
          </w:p>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(triệu đồng) </w:t>
            </w:r>
          </w:p>
        </w:tc>
        <w:tc>
          <w:tcPr>
            <w:tcW w:w="1725"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Doanh số 2012 </w:t>
            </w:r>
          </w:p>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(triệu đồng) </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Mức tăng trưởng </w:t>
            </w:r>
          </w:p>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 </w:t>
            </w:r>
          </w:p>
        </w:tc>
      </w:tr>
      <w:tr w:rsidR="00EE5500" w:rsidRPr="00EE5500" w:rsidTr="00EE5500">
        <w:trPr>
          <w:tblCellSpacing w:w="0" w:type="dxa"/>
        </w:trPr>
        <w:tc>
          <w:tcPr>
            <w:tcW w:w="3855" w:type="dxa"/>
            <w:gridSpan w:val="2"/>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i/>
                <w:iCs/>
                <w:sz w:val="24"/>
                <w:szCs w:val="24"/>
                <w:u w:val="single"/>
              </w:rPr>
              <w:t>Tại DGC</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68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i/>
                <w:iCs/>
                <w:sz w:val="24"/>
                <w:szCs w:val="24"/>
              </w:rPr>
              <w:t xml:space="preserve">1. Chất tẩy rửa </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68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Bột giặt</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15.000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210.000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176.829</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18,76%</w:t>
            </w: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Nước rửa chén</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1.500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18.000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11.600</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55,17%</w:t>
            </w: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Nước xả</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210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4.000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3.354</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19,26%</w:t>
            </w: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Nước giặt</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60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1.200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464</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158,62%</w:t>
            </w: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Javen</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75</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600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514</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16,73%</w:t>
            </w: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Lau sàn</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36</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500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409</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22,25%</w:t>
            </w: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Tẩy bồn cầu</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20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350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287</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21,95%</w:t>
            </w: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Xà phòng bánh</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1,66</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100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58</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72,41%</w:t>
            </w: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Dầu gội đầu</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6</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200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82</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143,90%</w:t>
            </w: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Kem giặt</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133</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after="0" w:line="240" w:lineRule="auto"/>
              <w:rPr>
                <w:rFonts w:ascii="Times New Roman" w:eastAsia="Times New Roman" w:hAnsi="Times New Roman" w:cs="Times New Roman"/>
                <w:sz w:val="24"/>
                <w:szCs w:val="24"/>
              </w:rPr>
            </w:pP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i/>
                <w:iCs/>
                <w:sz w:val="24"/>
                <w:szCs w:val="24"/>
              </w:rPr>
              <w:t xml:space="preserve">2. LAS </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after="0" w:line="240" w:lineRule="auto"/>
              <w:rPr>
                <w:rFonts w:ascii="Times New Roman" w:eastAsia="Times New Roman" w:hAnsi="Times New Roman" w:cs="Times New Roman"/>
                <w:sz w:val="24"/>
                <w:szCs w:val="24"/>
              </w:rPr>
            </w:pP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Gia công</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9.007</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after="0" w:line="240" w:lineRule="auto"/>
              <w:rPr>
                <w:rFonts w:ascii="Times New Roman" w:eastAsia="Times New Roman" w:hAnsi="Times New Roman" w:cs="Times New Roman"/>
                <w:sz w:val="24"/>
                <w:szCs w:val="24"/>
              </w:rPr>
            </w:pP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lastRenderedPageBreak/>
              <w:t> </w:t>
            </w: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Bán ngoài</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4.000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132.000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68.548</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92,57%</w:t>
            </w: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Dùng cho sản xuất</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2.460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after="0" w:line="240" w:lineRule="auto"/>
              <w:rPr>
                <w:rFonts w:ascii="Times New Roman" w:eastAsia="Times New Roman" w:hAnsi="Times New Roman" w:cs="Times New Roman"/>
                <w:sz w:val="24"/>
                <w:szCs w:val="24"/>
              </w:rPr>
            </w:pP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i/>
                <w:iCs/>
                <w:sz w:val="24"/>
                <w:szCs w:val="24"/>
              </w:rPr>
              <w:t>3. H</w:t>
            </w:r>
            <w:r w:rsidRPr="00EE5500">
              <w:rPr>
                <w:rFonts w:ascii="Times New Roman" w:eastAsia="Times New Roman" w:hAnsi="Times New Roman" w:cs="Times New Roman"/>
                <w:b/>
                <w:bCs/>
                <w:i/>
                <w:iCs/>
                <w:sz w:val="24"/>
                <w:szCs w:val="24"/>
                <w:vertAlign w:val="subscript"/>
              </w:rPr>
              <w:t>3</w:t>
            </w:r>
            <w:r w:rsidRPr="00EE5500">
              <w:rPr>
                <w:rFonts w:ascii="Times New Roman" w:eastAsia="Times New Roman" w:hAnsi="Times New Roman" w:cs="Times New Roman"/>
                <w:b/>
                <w:bCs/>
                <w:i/>
                <w:iCs/>
                <w:sz w:val="24"/>
                <w:szCs w:val="24"/>
              </w:rPr>
              <w:t>PO</w:t>
            </w:r>
            <w:r w:rsidRPr="00EE5500">
              <w:rPr>
                <w:rFonts w:ascii="Times New Roman" w:eastAsia="Times New Roman" w:hAnsi="Times New Roman" w:cs="Times New Roman"/>
                <w:b/>
                <w:bCs/>
                <w:i/>
                <w:iCs/>
                <w:sz w:val="24"/>
                <w:szCs w:val="24"/>
                <w:vertAlign w:val="subscript"/>
              </w:rPr>
              <w:t>4</w:t>
            </w:r>
            <w:r w:rsidRPr="00EE5500">
              <w:rPr>
                <w:rFonts w:ascii="Times New Roman" w:eastAsia="Times New Roman" w:hAnsi="Times New Roman" w:cs="Times New Roman"/>
                <w:b/>
                <w:bCs/>
                <w:i/>
                <w:iCs/>
                <w:sz w:val="24"/>
                <w:szCs w:val="24"/>
              </w:rPr>
              <w:t xml:space="preserve"> </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after="0" w:line="240" w:lineRule="auto"/>
              <w:rPr>
                <w:rFonts w:ascii="Times New Roman" w:eastAsia="Times New Roman" w:hAnsi="Times New Roman" w:cs="Times New Roman"/>
                <w:sz w:val="24"/>
                <w:szCs w:val="24"/>
              </w:rPr>
            </w:pP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Thực phẩm</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1.100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21.800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21.772</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0,13%</w:t>
            </w: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Công nghiệp</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1.800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37.000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36.994</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0,02%</w:t>
            </w: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i/>
                <w:iCs/>
                <w:sz w:val="24"/>
                <w:szCs w:val="24"/>
              </w:rPr>
              <w:t xml:space="preserve">4. Hóa chất khác </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after="0" w:line="240" w:lineRule="auto"/>
              <w:rPr>
                <w:rFonts w:ascii="Times New Roman" w:eastAsia="Times New Roman" w:hAnsi="Times New Roman" w:cs="Times New Roman"/>
                <w:sz w:val="24"/>
                <w:szCs w:val="24"/>
              </w:rPr>
            </w:pP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Hóa chất kỹ thuật</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8.000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5.223</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53,17%</w:t>
            </w: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after="0" w:line="240" w:lineRule="auto"/>
              <w:rPr>
                <w:rFonts w:ascii="Times New Roman" w:eastAsia="Times New Roman" w:hAnsi="Times New Roman" w:cs="Times New Roman"/>
                <w:sz w:val="24"/>
                <w:szCs w:val="24"/>
              </w:rPr>
            </w:pP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Hóa chất tinh khiết</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6.00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7.037</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-14,74%</w:t>
            </w: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after="0" w:line="240" w:lineRule="auto"/>
              <w:rPr>
                <w:rFonts w:ascii="Times New Roman" w:eastAsia="Times New Roman" w:hAnsi="Times New Roman" w:cs="Times New Roman"/>
                <w:sz w:val="24"/>
                <w:szCs w:val="24"/>
              </w:rPr>
            </w:pP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i/>
                <w:iCs/>
                <w:sz w:val="24"/>
                <w:szCs w:val="24"/>
              </w:rPr>
              <w:t xml:space="preserve">5. Hóa chất, thiết bị khác </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4.047</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after="0" w:line="240" w:lineRule="auto"/>
              <w:rPr>
                <w:rFonts w:ascii="Times New Roman" w:eastAsia="Times New Roman" w:hAnsi="Times New Roman" w:cs="Times New Roman"/>
                <w:sz w:val="24"/>
                <w:szCs w:val="24"/>
              </w:rPr>
            </w:pP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after="0" w:line="240" w:lineRule="auto"/>
              <w:rPr>
                <w:rFonts w:ascii="Times New Roman" w:eastAsia="Times New Roman" w:hAnsi="Times New Roman" w:cs="Times New Roman"/>
                <w:sz w:val="24"/>
                <w:szCs w:val="24"/>
              </w:rPr>
            </w:pPr>
          </w:p>
        </w:tc>
        <w:tc>
          <w:tcPr>
            <w:tcW w:w="31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i/>
                <w:iCs/>
                <w:sz w:val="24"/>
                <w:szCs w:val="24"/>
              </w:rPr>
              <w:t xml:space="preserve">6. Dịch vụ </w:t>
            </w:r>
          </w:p>
        </w:tc>
        <w:tc>
          <w:tcPr>
            <w:tcW w:w="1320"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20.000</w:t>
            </w:r>
          </w:p>
        </w:tc>
        <w:tc>
          <w:tcPr>
            <w:tcW w:w="1725" w:type="dxa"/>
            <w:tcBorders>
              <w:top w:val="outset" w:sz="6" w:space="0" w:color="auto"/>
              <w:left w:val="outset" w:sz="6" w:space="0" w:color="auto"/>
              <w:bottom w:val="outset" w:sz="6" w:space="0" w:color="auto"/>
              <w:right w:val="outset" w:sz="6" w:space="0" w:color="auto"/>
            </w:tcBorders>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15.504</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29,00%</w:t>
            </w:r>
          </w:p>
        </w:tc>
      </w:tr>
      <w:tr w:rsidR="00EE5500" w:rsidRPr="00EE5500" w:rsidTr="00EE5500">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after="0" w:line="240" w:lineRule="auto"/>
              <w:rPr>
                <w:rFonts w:ascii="Times New Roman" w:eastAsia="Times New Roman" w:hAnsi="Times New Roman" w:cs="Times New Roman"/>
                <w:sz w:val="24"/>
                <w:szCs w:val="24"/>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i/>
                <w:iCs/>
                <w:sz w:val="24"/>
                <w:szCs w:val="24"/>
              </w:rPr>
              <w:t xml:space="preserve">Tổng cộng </w:t>
            </w:r>
          </w:p>
        </w:tc>
        <w:tc>
          <w:tcPr>
            <w:tcW w:w="132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i/>
                <w:iCs/>
                <w:sz w:val="24"/>
                <w:szCs w:val="24"/>
              </w:rPr>
              <w:t xml:space="preserve">453.750 </w:t>
            </w:r>
          </w:p>
        </w:tc>
        <w:tc>
          <w:tcPr>
            <w:tcW w:w="1725"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i/>
                <w:iCs/>
                <w:sz w:val="24"/>
                <w:szCs w:val="24"/>
              </w:rPr>
              <w:t xml:space="preserve">361.862 </w:t>
            </w:r>
          </w:p>
        </w:tc>
        <w:tc>
          <w:tcPr>
            <w:tcW w:w="1680" w:type="dxa"/>
            <w:tcBorders>
              <w:top w:val="outset" w:sz="6" w:space="0" w:color="auto"/>
              <w:left w:val="outset" w:sz="6" w:space="0" w:color="auto"/>
              <w:bottom w:val="outset" w:sz="6" w:space="0" w:color="auto"/>
              <w:right w:val="outset" w:sz="6" w:space="0" w:color="auto"/>
            </w:tcBorders>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i/>
                <w:iCs/>
                <w:sz w:val="24"/>
                <w:szCs w:val="24"/>
              </w:rPr>
              <w:t xml:space="preserve">25,39% </w:t>
            </w:r>
          </w:p>
        </w:tc>
      </w:tr>
    </w:tbl>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Lợi nhuận sau thuế: </w:t>
      </w:r>
    </w:p>
    <w:tbl>
      <w:tblPr>
        <w:tblW w:w="10170" w:type="dxa"/>
        <w:tblCellSpacing w:w="0" w:type="dxa"/>
        <w:tblCellMar>
          <w:left w:w="0" w:type="dxa"/>
          <w:right w:w="0" w:type="dxa"/>
        </w:tblCellMar>
        <w:tblLook w:val="04A0"/>
      </w:tblPr>
      <w:tblGrid>
        <w:gridCol w:w="1215"/>
        <w:gridCol w:w="1215"/>
        <w:gridCol w:w="1515"/>
        <w:gridCol w:w="1230"/>
        <w:gridCol w:w="795"/>
        <w:gridCol w:w="930"/>
        <w:gridCol w:w="1725"/>
        <w:gridCol w:w="1545"/>
      </w:tblGrid>
      <w:tr w:rsidR="00EE5500" w:rsidRPr="00EE5500" w:rsidTr="00EE5500">
        <w:trPr>
          <w:tblCellSpacing w:w="0" w:type="dxa"/>
        </w:trPr>
        <w:tc>
          <w:tcPr>
            <w:tcW w:w="2430" w:type="dxa"/>
            <w:gridSpan w:val="2"/>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Chất tẩy rửa:</w:t>
            </w:r>
          </w:p>
        </w:tc>
        <w:tc>
          <w:tcPr>
            <w:tcW w:w="3540" w:type="dxa"/>
            <w:gridSpan w:val="3"/>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7.000.000.000 VND</w:t>
            </w:r>
          </w:p>
        </w:tc>
        <w:tc>
          <w:tcPr>
            <w:tcW w:w="4200" w:type="dxa"/>
            <w:gridSpan w:val="3"/>
            <w:vAlign w:val="center"/>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r>
      <w:tr w:rsidR="00EE5500" w:rsidRPr="00EE5500" w:rsidTr="00EE5500">
        <w:trPr>
          <w:tblCellSpacing w:w="0" w:type="dxa"/>
        </w:trPr>
        <w:tc>
          <w:tcPr>
            <w:tcW w:w="2430" w:type="dxa"/>
            <w:gridSpan w:val="2"/>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LAS</w:t>
            </w:r>
          </w:p>
        </w:tc>
        <w:tc>
          <w:tcPr>
            <w:tcW w:w="3540" w:type="dxa"/>
            <w:gridSpan w:val="3"/>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4.000.000.000 VND</w:t>
            </w:r>
          </w:p>
        </w:tc>
        <w:tc>
          <w:tcPr>
            <w:tcW w:w="4200" w:type="dxa"/>
            <w:gridSpan w:val="3"/>
            <w:vAlign w:val="center"/>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r>
      <w:tr w:rsidR="00EE5500" w:rsidRPr="00EE5500" w:rsidTr="00EE5500">
        <w:trPr>
          <w:tblCellSpacing w:w="0" w:type="dxa"/>
        </w:trPr>
        <w:tc>
          <w:tcPr>
            <w:tcW w:w="2430" w:type="dxa"/>
            <w:gridSpan w:val="2"/>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H</w:t>
            </w:r>
            <w:r w:rsidRPr="00EE5500">
              <w:rPr>
                <w:rFonts w:ascii="Times New Roman" w:eastAsia="Times New Roman" w:hAnsi="Times New Roman" w:cs="Times New Roman"/>
                <w:sz w:val="24"/>
                <w:szCs w:val="24"/>
                <w:vertAlign w:val="subscript"/>
              </w:rPr>
              <w:t>3</w:t>
            </w:r>
            <w:r w:rsidRPr="00EE5500">
              <w:rPr>
                <w:rFonts w:ascii="Times New Roman" w:eastAsia="Times New Roman" w:hAnsi="Times New Roman" w:cs="Times New Roman"/>
                <w:sz w:val="24"/>
                <w:szCs w:val="24"/>
              </w:rPr>
              <w:t>PO</w:t>
            </w:r>
            <w:r w:rsidRPr="00EE5500">
              <w:rPr>
                <w:rFonts w:ascii="Times New Roman" w:eastAsia="Times New Roman" w:hAnsi="Times New Roman" w:cs="Times New Roman"/>
                <w:sz w:val="24"/>
                <w:szCs w:val="24"/>
                <w:vertAlign w:val="subscript"/>
              </w:rPr>
              <w:t>4</w:t>
            </w:r>
          </w:p>
        </w:tc>
        <w:tc>
          <w:tcPr>
            <w:tcW w:w="3540" w:type="dxa"/>
            <w:gridSpan w:val="3"/>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5.000.000.000 VND</w:t>
            </w:r>
          </w:p>
        </w:tc>
        <w:tc>
          <w:tcPr>
            <w:tcW w:w="4200" w:type="dxa"/>
            <w:gridSpan w:val="3"/>
            <w:vAlign w:val="center"/>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r>
      <w:tr w:rsidR="00EE5500" w:rsidRPr="00EE5500" w:rsidTr="00EE5500">
        <w:trPr>
          <w:tblCellSpacing w:w="0" w:type="dxa"/>
        </w:trPr>
        <w:tc>
          <w:tcPr>
            <w:tcW w:w="2430" w:type="dxa"/>
            <w:gridSpan w:val="2"/>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Hóa chất khác</w:t>
            </w:r>
          </w:p>
        </w:tc>
        <w:tc>
          <w:tcPr>
            <w:tcW w:w="3540" w:type="dxa"/>
            <w:gridSpan w:val="3"/>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1.000.000.000 VND</w:t>
            </w:r>
          </w:p>
        </w:tc>
        <w:tc>
          <w:tcPr>
            <w:tcW w:w="4200" w:type="dxa"/>
            <w:gridSpan w:val="3"/>
            <w:vAlign w:val="center"/>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r>
      <w:tr w:rsidR="00EE5500" w:rsidRPr="00EE5500" w:rsidTr="00EE5500">
        <w:trPr>
          <w:tblCellSpacing w:w="0" w:type="dxa"/>
        </w:trPr>
        <w:tc>
          <w:tcPr>
            <w:tcW w:w="2430" w:type="dxa"/>
            <w:gridSpan w:val="2"/>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Dịch vụ</w:t>
            </w:r>
          </w:p>
        </w:tc>
        <w:tc>
          <w:tcPr>
            <w:tcW w:w="3540" w:type="dxa"/>
            <w:gridSpan w:val="3"/>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3.000.000.000 VND</w:t>
            </w:r>
          </w:p>
        </w:tc>
        <w:tc>
          <w:tcPr>
            <w:tcW w:w="4200" w:type="dxa"/>
            <w:gridSpan w:val="3"/>
            <w:vAlign w:val="center"/>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r>
      <w:tr w:rsidR="00EE5500" w:rsidRPr="00EE5500" w:rsidTr="00EE5500">
        <w:trPr>
          <w:tblCellSpacing w:w="0" w:type="dxa"/>
        </w:trPr>
        <w:tc>
          <w:tcPr>
            <w:tcW w:w="2430" w:type="dxa"/>
            <w:gridSpan w:val="2"/>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Tổng cộng </w:t>
            </w:r>
          </w:p>
        </w:tc>
        <w:tc>
          <w:tcPr>
            <w:tcW w:w="3540" w:type="dxa"/>
            <w:gridSpan w:val="3"/>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20.000.000.000 VND </w:t>
            </w:r>
          </w:p>
        </w:tc>
        <w:tc>
          <w:tcPr>
            <w:tcW w:w="4200" w:type="dxa"/>
            <w:gridSpan w:val="3"/>
            <w:vAlign w:val="center"/>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r>
      <w:tr w:rsidR="00EE5500" w:rsidRPr="00EE5500" w:rsidTr="00EE5500">
        <w:trPr>
          <w:tblCellSpacing w:w="0" w:type="dxa"/>
        </w:trPr>
        <w:tc>
          <w:tcPr>
            <w:tcW w:w="1215" w:type="dxa"/>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i/>
                <w:iCs/>
                <w:sz w:val="24"/>
                <w:szCs w:val="24"/>
                <w:u w:val="single"/>
              </w:rPr>
              <w:t>Tại DLC</w:t>
            </w:r>
            <w:r w:rsidRPr="00EE5500">
              <w:rPr>
                <w:rFonts w:ascii="Times New Roman" w:eastAsia="Times New Roman" w:hAnsi="Times New Roman" w:cs="Times New Roman"/>
                <w:b/>
                <w:bCs/>
                <w:sz w:val="24"/>
                <w:szCs w:val="24"/>
              </w:rPr>
              <w:t xml:space="preserve"> </w:t>
            </w:r>
          </w:p>
        </w:tc>
        <w:tc>
          <w:tcPr>
            <w:tcW w:w="2730" w:type="dxa"/>
            <w:gridSpan w:val="2"/>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Sản phẩm </w:t>
            </w:r>
          </w:p>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Phốt pho vàng </w:t>
            </w:r>
          </w:p>
        </w:tc>
        <w:tc>
          <w:tcPr>
            <w:tcW w:w="1230" w:type="dxa"/>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Sản lượng </w:t>
            </w:r>
          </w:p>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(tấn) </w:t>
            </w:r>
          </w:p>
        </w:tc>
        <w:tc>
          <w:tcPr>
            <w:tcW w:w="1725" w:type="dxa"/>
            <w:gridSpan w:val="2"/>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Kế hoạch 2013 </w:t>
            </w:r>
          </w:p>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(USD) </w:t>
            </w:r>
          </w:p>
        </w:tc>
        <w:tc>
          <w:tcPr>
            <w:tcW w:w="1725" w:type="dxa"/>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Doanh thu năm 2012 (USD) </w:t>
            </w:r>
          </w:p>
        </w:tc>
        <w:tc>
          <w:tcPr>
            <w:tcW w:w="1545" w:type="dxa"/>
            <w:vAlign w:val="center"/>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Mức tăng trưởng </w:t>
            </w:r>
          </w:p>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 </w:t>
            </w:r>
          </w:p>
        </w:tc>
      </w:tr>
      <w:tr w:rsidR="00EE5500" w:rsidRPr="00EE5500" w:rsidTr="00EE5500">
        <w:trPr>
          <w:tblCellSpacing w:w="0" w:type="dxa"/>
        </w:trPr>
        <w:tc>
          <w:tcPr>
            <w:tcW w:w="1215" w:type="dxa"/>
            <w:hideMark/>
          </w:tcPr>
          <w:p w:rsidR="00EE5500" w:rsidRPr="00EE5500" w:rsidRDefault="00EE5500" w:rsidP="00EE5500">
            <w:pPr>
              <w:spacing w:after="0" w:line="240" w:lineRule="auto"/>
              <w:rPr>
                <w:rFonts w:ascii="Times New Roman" w:eastAsia="Times New Roman" w:hAnsi="Times New Roman" w:cs="Times New Roman"/>
                <w:sz w:val="24"/>
                <w:szCs w:val="24"/>
              </w:rPr>
            </w:pPr>
          </w:p>
        </w:tc>
        <w:tc>
          <w:tcPr>
            <w:tcW w:w="2730" w:type="dxa"/>
            <w:gridSpan w:val="2"/>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Xuất khẩu</w:t>
            </w:r>
          </w:p>
        </w:tc>
        <w:tc>
          <w:tcPr>
            <w:tcW w:w="1230" w:type="dxa"/>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24.000</w:t>
            </w:r>
          </w:p>
        </w:tc>
        <w:tc>
          <w:tcPr>
            <w:tcW w:w="1725" w:type="dxa"/>
            <w:gridSpan w:val="2"/>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83.000.000</w:t>
            </w:r>
          </w:p>
        </w:tc>
        <w:tc>
          <w:tcPr>
            <w:tcW w:w="1725" w:type="dxa"/>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80.600.000</w:t>
            </w:r>
          </w:p>
        </w:tc>
        <w:tc>
          <w:tcPr>
            <w:tcW w:w="1545" w:type="dxa"/>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2,98</w:t>
            </w:r>
          </w:p>
        </w:tc>
      </w:tr>
      <w:tr w:rsidR="00EE5500" w:rsidRPr="00EE5500" w:rsidTr="00EE5500">
        <w:trPr>
          <w:tblCellSpacing w:w="0" w:type="dxa"/>
        </w:trPr>
        <w:tc>
          <w:tcPr>
            <w:tcW w:w="1215" w:type="dxa"/>
            <w:hideMark/>
          </w:tcPr>
          <w:p w:rsidR="00EE5500" w:rsidRPr="00EE5500" w:rsidRDefault="00EE5500" w:rsidP="00EE5500">
            <w:pPr>
              <w:spacing w:after="0" w:line="240" w:lineRule="auto"/>
              <w:rPr>
                <w:rFonts w:ascii="Times New Roman" w:eastAsia="Times New Roman" w:hAnsi="Times New Roman" w:cs="Times New Roman"/>
                <w:sz w:val="24"/>
                <w:szCs w:val="24"/>
              </w:rPr>
            </w:pPr>
          </w:p>
        </w:tc>
        <w:tc>
          <w:tcPr>
            <w:tcW w:w="2730" w:type="dxa"/>
            <w:gridSpan w:val="2"/>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Phục vụ sản xuất</w:t>
            </w:r>
          </w:p>
        </w:tc>
        <w:tc>
          <w:tcPr>
            <w:tcW w:w="1230" w:type="dxa"/>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1.000</w:t>
            </w:r>
          </w:p>
        </w:tc>
        <w:tc>
          <w:tcPr>
            <w:tcW w:w="1725" w:type="dxa"/>
            <w:gridSpan w:val="2"/>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725" w:type="dxa"/>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c>
          <w:tcPr>
            <w:tcW w:w="1545" w:type="dxa"/>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tc>
      </w:tr>
      <w:tr w:rsidR="00EE5500" w:rsidRPr="00EE5500" w:rsidTr="00EE5500">
        <w:trPr>
          <w:tblCellSpacing w:w="0" w:type="dxa"/>
        </w:trPr>
        <w:tc>
          <w:tcPr>
            <w:tcW w:w="1215" w:type="dxa"/>
            <w:hideMark/>
          </w:tcPr>
          <w:p w:rsidR="00EE5500" w:rsidRPr="00EE5500" w:rsidRDefault="00EE5500" w:rsidP="00EE5500">
            <w:pPr>
              <w:spacing w:after="0" w:line="240" w:lineRule="auto"/>
              <w:rPr>
                <w:rFonts w:ascii="Times New Roman" w:eastAsia="Times New Roman" w:hAnsi="Times New Roman" w:cs="Times New Roman"/>
                <w:sz w:val="24"/>
                <w:szCs w:val="24"/>
              </w:rPr>
            </w:pPr>
          </w:p>
        </w:tc>
        <w:tc>
          <w:tcPr>
            <w:tcW w:w="2730" w:type="dxa"/>
            <w:gridSpan w:val="2"/>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Tổng </w:t>
            </w:r>
          </w:p>
        </w:tc>
        <w:tc>
          <w:tcPr>
            <w:tcW w:w="1230" w:type="dxa"/>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25.000 </w:t>
            </w:r>
          </w:p>
        </w:tc>
        <w:tc>
          <w:tcPr>
            <w:tcW w:w="1725" w:type="dxa"/>
            <w:gridSpan w:val="2"/>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83.000.000 </w:t>
            </w:r>
          </w:p>
        </w:tc>
        <w:tc>
          <w:tcPr>
            <w:tcW w:w="1725" w:type="dxa"/>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80.600.000 </w:t>
            </w:r>
          </w:p>
        </w:tc>
        <w:tc>
          <w:tcPr>
            <w:tcW w:w="1545" w:type="dxa"/>
            <w:hideMark/>
          </w:tcPr>
          <w:p w:rsidR="00EE5500" w:rsidRPr="00EE5500" w:rsidRDefault="00EE5500" w:rsidP="00EE5500">
            <w:pPr>
              <w:spacing w:before="100" w:beforeAutospacing="1" w:after="100" w:afterAutospacing="1" w:line="240" w:lineRule="auto"/>
              <w:jc w:val="right"/>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2,98 </w:t>
            </w:r>
          </w:p>
        </w:tc>
      </w:tr>
      <w:tr w:rsidR="00EE5500" w:rsidRPr="00EE5500" w:rsidTr="00EE5500">
        <w:trPr>
          <w:tblCellSpacing w:w="0" w:type="dxa"/>
        </w:trPr>
        <w:tc>
          <w:tcPr>
            <w:tcW w:w="1215" w:type="dxa"/>
            <w:vAlign w:val="center"/>
            <w:hideMark/>
          </w:tcPr>
          <w:p w:rsidR="00EE5500" w:rsidRPr="00EE5500" w:rsidRDefault="00EE5500" w:rsidP="00EE5500">
            <w:pPr>
              <w:spacing w:after="0" w:line="240" w:lineRule="auto"/>
              <w:rPr>
                <w:rFonts w:ascii="Times New Roman" w:eastAsia="Times New Roman" w:hAnsi="Times New Roman" w:cs="Times New Roman"/>
                <w:sz w:val="1"/>
                <w:szCs w:val="24"/>
              </w:rPr>
            </w:pPr>
          </w:p>
        </w:tc>
        <w:tc>
          <w:tcPr>
            <w:tcW w:w="1215" w:type="dxa"/>
            <w:vAlign w:val="center"/>
            <w:hideMark/>
          </w:tcPr>
          <w:p w:rsidR="00EE5500" w:rsidRPr="00EE5500" w:rsidRDefault="00EE5500" w:rsidP="00EE5500">
            <w:pPr>
              <w:spacing w:after="0" w:line="240" w:lineRule="auto"/>
              <w:rPr>
                <w:rFonts w:ascii="Times New Roman" w:eastAsia="Times New Roman" w:hAnsi="Times New Roman" w:cs="Times New Roman"/>
                <w:sz w:val="1"/>
                <w:szCs w:val="24"/>
              </w:rPr>
            </w:pPr>
          </w:p>
        </w:tc>
        <w:tc>
          <w:tcPr>
            <w:tcW w:w="1515" w:type="dxa"/>
            <w:vAlign w:val="center"/>
            <w:hideMark/>
          </w:tcPr>
          <w:p w:rsidR="00EE5500" w:rsidRPr="00EE5500" w:rsidRDefault="00EE5500" w:rsidP="00EE5500">
            <w:pPr>
              <w:spacing w:after="0" w:line="240" w:lineRule="auto"/>
              <w:rPr>
                <w:rFonts w:ascii="Times New Roman" w:eastAsia="Times New Roman" w:hAnsi="Times New Roman" w:cs="Times New Roman"/>
                <w:sz w:val="1"/>
                <w:szCs w:val="24"/>
              </w:rPr>
            </w:pPr>
          </w:p>
        </w:tc>
        <w:tc>
          <w:tcPr>
            <w:tcW w:w="1230" w:type="dxa"/>
            <w:vAlign w:val="center"/>
            <w:hideMark/>
          </w:tcPr>
          <w:p w:rsidR="00EE5500" w:rsidRPr="00EE5500" w:rsidRDefault="00EE5500" w:rsidP="00EE5500">
            <w:pPr>
              <w:spacing w:after="0" w:line="240" w:lineRule="auto"/>
              <w:rPr>
                <w:rFonts w:ascii="Times New Roman" w:eastAsia="Times New Roman" w:hAnsi="Times New Roman" w:cs="Times New Roman"/>
                <w:sz w:val="1"/>
                <w:szCs w:val="24"/>
              </w:rPr>
            </w:pPr>
          </w:p>
        </w:tc>
        <w:tc>
          <w:tcPr>
            <w:tcW w:w="795" w:type="dxa"/>
            <w:vAlign w:val="center"/>
            <w:hideMark/>
          </w:tcPr>
          <w:p w:rsidR="00EE5500" w:rsidRPr="00EE5500" w:rsidRDefault="00EE5500" w:rsidP="00EE5500">
            <w:pPr>
              <w:spacing w:after="0" w:line="240" w:lineRule="auto"/>
              <w:rPr>
                <w:rFonts w:ascii="Times New Roman" w:eastAsia="Times New Roman" w:hAnsi="Times New Roman" w:cs="Times New Roman"/>
                <w:sz w:val="1"/>
                <w:szCs w:val="24"/>
              </w:rPr>
            </w:pPr>
          </w:p>
        </w:tc>
        <w:tc>
          <w:tcPr>
            <w:tcW w:w="930" w:type="dxa"/>
            <w:vAlign w:val="center"/>
            <w:hideMark/>
          </w:tcPr>
          <w:p w:rsidR="00EE5500" w:rsidRPr="00EE5500" w:rsidRDefault="00EE5500" w:rsidP="00EE5500">
            <w:pPr>
              <w:spacing w:after="0" w:line="240" w:lineRule="auto"/>
              <w:rPr>
                <w:rFonts w:ascii="Times New Roman" w:eastAsia="Times New Roman" w:hAnsi="Times New Roman" w:cs="Times New Roman"/>
                <w:sz w:val="1"/>
                <w:szCs w:val="24"/>
              </w:rPr>
            </w:pPr>
          </w:p>
        </w:tc>
        <w:tc>
          <w:tcPr>
            <w:tcW w:w="1725" w:type="dxa"/>
            <w:vAlign w:val="center"/>
            <w:hideMark/>
          </w:tcPr>
          <w:p w:rsidR="00EE5500" w:rsidRPr="00EE5500" w:rsidRDefault="00EE5500" w:rsidP="00EE5500">
            <w:pPr>
              <w:spacing w:after="0" w:line="240" w:lineRule="auto"/>
              <w:rPr>
                <w:rFonts w:ascii="Times New Roman" w:eastAsia="Times New Roman" w:hAnsi="Times New Roman" w:cs="Times New Roman"/>
                <w:sz w:val="1"/>
                <w:szCs w:val="24"/>
              </w:rPr>
            </w:pPr>
          </w:p>
        </w:tc>
        <w:tc>
          <w:tcPr>
            <w:tcW w:w="1545" w:type="dxa"/>
            <w:vAlign w:val="center"/>
            <w:hideMark/>
          </w:tcPr>
          <w:p w:rsidR="00EE5500" w:rsidRPr="00EE5500" w:rsidRDefault="00EE5500" w:rsidP="00EE5500">
            <w:pPr>
              <w:spacing w:after="0" w:line="240" w:lineRule="auto"/>
              <w:rPr>
                <w:rFonts w:ascii="Times New Roman" w:eastAsia="Times New Roman" w:hAnsi="Times New Roman" w:cs="Times New Roman"/>
                <w:sz w:val="1"/>
                <w:szCs w:val="24"/>
              </w:rPr>
            </w:pPr>
          </w:p>
        </w:tc>
      </w:tr>
    </w:tbl>
    <w:p w:rsidR="00EE5500" w:rsidRPr="00EE5500" w:rsidRDefault="00EE5500" w:rsidP="00EE550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5500">
        <w:rPr>
          <w:rFonts w:ascii="Times New Roman" w:eastAsia="Times New Roman" w:hAnsi="Times New Roman" w:cs="Times New Roman"/>
          <w:b/>
          <w:bCs/>
          <w:kern w:val="36"/>
          <w:sz w:val="48"/>
          <w:szCs w:val="48"/>
        </w:rPr>
        <w:t>Lợi nhuận tại công ty DLC:</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Lợi nhuận trước thuế đạt 330.000.000.000 VND</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Lợi nhuận sau thuế đạt: 280.000.000.000 VND</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Cổ tức dự kiến: 50%</w:t>
      </w:r>
    </w:p>
    <w:p w:rsidR="00EE5500" w:rsidRPr="00EE5500" w:rsidRDefault="00EE5500" w:rsidP="00EE550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5500">
        <w:rPr>
          <w:rFonts w:ascii="Times New Roman" w:eastAsia="Times New Roman" w:hAnsi="Times New Roman" w:cs="Times New Roman"/>
          <w:b/>
          <w:bCs/>
          <w:kern w:val="36"/>
          <w:sz w:val="48"/>
          <w:szCs w:val="48"/>
        </w:rPr>
        <w:t>B. Tổng lợi nhuận dự kiến năm 2013</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lastRenderedPageBreak/>
        <w:t>Tổng lợi nhuận sau thuế hợp nhất:</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Lợi nhuận sau thuế tại công ty DGC:                    20.000.000.000 VND</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Lợi nhuận sau thuế tại công ty DLC:                     280.000.000.000 VND</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Lợi nhuận DGC nhận được từ công ty LPC:     1.800.000.000 VND</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Tổng cộng:     301.800.000.000 VND</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Lợi nhuận sau thuế của công ty mẹ (DGC)</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Tại DGC: 20.000.000.000 VND</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DLC chuyển về: 145.000.000.000 VND</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LPC chuyển về: 1.800.000.000 VND</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Tổng lợi nhuận sau thuế của công ty mẹ DGC: 166.800.000.000 VND</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Cổ tức dự kiến: 44%.</w:t>
      </w:r>
    </w:p>
    <w:p w:rsidR="00EE5500" w:rsidRPr="00EE5500" w:rsidRDefault="00EE5500" w:rsidP="00EE5500">
      <w:pPr>
        <w:spacing w:before="100" w:beforeAutospacing="1" w:after="100" w:afterAutospacing="1" w:line="240" w:lineRule="auto"/>
        <w:outlineLvl w:val="1"/>
        <w:rPr>
          <w:rFonts w:ascii="Times New Roman" w:eastAsia="Times New Roman" w:hAnsi="Times New Roman" w:cs="Times New Roman"/>
          <w:b/>
          <w:bCs/>
          <w:sz w:val="36"/>
          <w:szCs w:val="36"/>
        </w:rPr>
      </w:pPr>
      <w:r w:rsidRPr="00EE5500">
        <w:rPr>
          <w:rFonts w:ascii="Times New Roman" w:eastAsia="Times New Roman" w:hAnsi="Times New Roman" w:cs="Times New Roman"/>
          <w:b/>
          <w:bCs/>
          <w:sz w:val="36"/>
          <w:szCs w:val="36"/>
        </w:rPr>
        <w:t>·        Thu nhập bình quân đầu người dự kiến:</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xml:space="preserve">-     </w:t>
      </w:r>
      <w:r w:rsidRPr="00EE5500">
        <w:rPr>
          <w:rFonts w:ascii="Times New Roman" w:eastAsia="Times New Roman" w:hAnsi="Times New Roman" w:cs="Times New Roman"/>
          <w:b/>
          <w:bCs/>
          <w:sz w:val="24"/>
          <w:szCs w:val="24"/>
        </w:rPr>
        <w:t>DGC:    10.5 triệu/người</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xml:space="preserve">-     </w:t>
      </w:r>
      <w:r w:rsidRPr="00EE5500">
        <w:rPr>
          <w:rFonts w:ascii="Times New Roman" w:eastAsia="Times New Roman" w:hAnsi="Times New Roman" w:cs="Times New Roman"/>
          <w:b/>
          <w:bCs/>
          <w:sz w:val="24"/>
          <w:szCs w:val="24"/>
        </w:rPr>
        <w:t>DLC:     11.5  triệu/người</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IV. Tăng vốn điều lệ công ty</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Vốn điều lệ hiện tại: 220.000.000.000 VNĐ</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Vốn điều lệ sau khi tăng: 335.000.000.000 VNĐ</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i/>
          <w:iCs/>
          <w:sz w:val="24"/>
          <w:szCs w:val="24"/>
        </w:rPr>
        <w:t>(Ba trăm ba mươi lăm tỷ đồng.)</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Phương án phát hành thêm cổ để tăng vốn điều lệ: Phát hành thêm 11.500.000 cổ phần theo hình thức chi trả cổ tức năm 2012 bằng cổ phiếu, cụ thể như sau:</w:t>
      </w:r>
    </w:p>
    <w:p w:rsidR="00EE5500" w:rsidRPr="00EE5500" w:rsidRDefault="00EE5500" w:rsidP="00EE550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Tổng số cổ phần phát hành thêm: </w:t>
      </w:r>
      <w:r w:rsidRPr="00EE5500">
        <w:rPr>
          <w:rFonts w:ascii="Times New Roman" w:eastAsia="Times New Roman" w:hAnsi="Times New Roman" w:cs="Times New Roman"/>
          <w:sz w:val="24"/>
          <w:szCs w:val="24"/>
        </w:rPr>
        <w:t xml:space="preserve">11.500.000 cổ phần, tương ứng 115.000.000.000 đồng </w:t>
      </w:r>
      <w:r w:rsidRPr="00EE5500">
        <w:rPr>
          <w:rFonts w:ascii="Times New Roman" w:eastAsia="Times New Roman" w:hAnsi="Times New Roman" w:cs="Times New Roman"/>
          <w:i/>
          <w:iCs/>
          <w:sz w:val="24"/>
          <w:szCs w:val="24"/>
        </w:rPr>
        <w:t>(Một trăm mười lăm tỷ đồng)</w:t>
      </w:r>
      <w:r w:rsidRPr="00EE5500">
        <w:rPr>
          <w:rFonts w:ascii="Times New Roman" w:eastAsia="Times New Roman" w:hAnsi="Times New Roman" w:cs="Times New Roman"/>
          <w:sz w:val="24"/>
          <w:szCs w:val="24"/>
        </w:rPr>
        <w:t xml:space="preserve"> theo mệnh giá;</w:t>
      </w:r>
      <w:r w:rsidRPr="00EE5500">
        <w:rPr>
          <w:rFonts w:ascii="Times New Roman" w:eastAsia="Times New Roman" w:hAnsi="Times New Roman" w:cs="Times New Roman"/>
          <w:b/>
          <w:bCs/>
          <w:sz w:val="24"/>
          <w:szCs w:val="24"/>
        </w:rPr>
        <w:t xml:space="preserve"> </w:t>
      </w:r>
    </w:p>
    <w:p w:rsidR="00EE5500" w:rsidRPr="00EE5500" w:rsidRDefault="00EE5500" w:rsidP="00EE550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Mục đính đợt phát hành: </w:t>
      </w:r>
      <w:r w:rsidRPr="00EE5500">
        <w:rPr>
          <w:rFonts w:ascii="Times New Roman" w:eastAsia="Times New Roman" w:hAnsi="Times New Roman" w:cs="Times New Roman"/>
          <w:sz w:val="24"/>
          <w:szCs w:val="24"/>
        </w:rPr>
        <w:t>Góp vốn thành lập lên công ty cổ phần hóa chất Đức Giang Lào Cai để giữ nguyên tỷ lệ sở hữu hiện tại tại công ty con (Công ty DLC).</w:t>
      </w:r>
      <w:r w:rsidRPr="00EE5500">
        <w:rPr>
          <w:rFonts w:ascii="Times New Roman" w:eastAsia="Times New Roman" w:hAnsi="Times New Roman" w:cs="Times New Roman"/>
          <w:b/>
          <w:bCs/>
          <w:sz w:val="24"/>
          <w:szCs w:val="24"/>
        </w:rPr>
        <w:t xml:space="preserve"> </w:t>
      </w:r>
    </w:p>
    <w:p w:rsidR="00EE5500" w:rsidRPr="00EE5500" w:rsidRDefault="00EE5500" w:rsidP="00EE550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Phương án sử dụng vốn: </w:t>
      </w:r>
      <w:r w:rsidRPr="00EE5500">
        <w:rPr>
          <w:rFonts w:ascii="Times New Roman" w:eastAsia="Times New Roman" w:hAnsi="Times New Roman" w:cs="Times New Roman"/>
          <w:sz w:val="24"/>
          <w:szCs w:val="24"/>
        </w:rPr>
        <w:t>Số tiền của đợt phát hành sẽ được sử dụng để đầu tư như sau:</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lastRenderedPageBreak/>
        <w:t>Do công ty cổ phần hóa chất Đức Giang – Lào Cai (DLC) tăng vốn điều lệ từ 250 tỷ đồng lên 464 tỷ đồng cho nên Công ty cổ phần bột giặt và hóa chất Đức Giang phải góp 132.002.920.000 VND để đảm bảo tỷ lệ nắm giữ hiện tại là 61,684% vốn điều lệ DLC.</w:t>
      </w:r>
    </w:p>
    <w:p w:rsidR="00EE5500" w:rsidRPr="00EE5500" w:rsidRDefault="00EE5500" w:rsidP="00EE550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Phương án tăng vốn: </w:t>
      </w:r>
      <w:r w:rsidRPr="00EE5500">
        <w:rPr>
          <w:rFonts w:ascii="Times New Roman" w:eastAsia="Times New Roman" w:hAnsi="Times New Roman" w:cs="Times New Roman"/>
          <w:sz w:val="24"/>
          <w:szCs w:val="24"/>
        </w:rPr>
        <w:t>Phát hành thêm 11.500.000 cổ phần theo hình thức chi trả cổ tức năm 2012 bằng cổ phiếu, chi tiết như sau:</w:t>
      </w:r>
      <w:r w:rsidRPr="00EE5500">
        <w:rPr>
          <w:rFonts w:ascii="Times New Roman" w:eastAsia="Times New Roman" w:hAnsi="Times New Roman" w:cs="Times New Roman"/>
          <w:b/>
          <w:bCs/>
          <w:sz w:val="24"/>
          <w:szCs w:val="24"/>
        </w:rPr>
        <w:t xml:space="preserve"> </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xml:space="preserve">-         </w:t>
      </w:r>
      <w:r w:rsidRPr="00EE5500">
        <w:rPr>
          <w:rFonts w:ascii="Times New Roman" w:eastAsia="Times New Roman" w:hAnsi="Times New Roman" w:cs="Times New Roman"/>
          <w:b/>
          <w:bCs/>
          <w:sz w:val="24"/>
          <w:szCs w:val="24"/>
        </w:rPr>
        <w:t xml:space="preserve">Loại cổ phần: </w:t>
      </w:r>
      <w:r w:rsidRPr="00EE5500">
        <w:rPr>
          <w:rFonts w:ascii="Times New Roman" w:eastAsia="Times New Roman" w:hAnsi="Times New Roman" w:cs="Times New Roman"/>
          <w:sz w:val="24"/>
          <w:szCs w:val="24"/>
        </w:rPr>
        <w:t>cổ phần phổ thông;</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xml:space="preserve">-         </w:t>
      </w:r>
      <w:r w:rsidRPr="00EE5500">
        <w:rPr>
          <w:rFonts w:ascii="Times New Roman" w:eastAsia="Times New Roman" w:hAnsi="Times New Roman" w:cs="Times New Roman"/>
          <w:b/>
          <w:bCs/>
          <w:sz w:val="24"/>
          <w:szCs w:val="24"/>
        </w:rPr>
        <w:t xml:space="preserve">Mệnh giá cổ phần: </w:t>
      </w:r>
      <w:r w:rsidRPr="00EE5500">
        <w:rPr>
          <w:rFonts w:ascii="Times New Roman" w:eastAsia="Times New Roman" w:hAnsi="Times New Roman" w:cs="Times New Roman"/>
          <w:sz w:val="24"/>
          <w:szCs w:val="24"/>
        </w:rPr>
        <w:t>10.000 đồng/cổ phần;</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xml:space="preserve">-         </w:t>
      </w:r>
      <w:r w:rsidRPr="00EE5500">
        <w:rPr>
          <w:rFonts w:ascii="Times New Roman" w:eastAsia="Times New Roman" w:hAnsi="Times New Roman" w:cs="Times New Roman"/>
          <w:b/>
          <w:bCs/>
          <w:sz w:val="24"/>
          <w:szCs w:val="24"/>
        </w:rPr>
        <w:t xml:space="preserve">Tỷ lệ phân bổ quyền: </w:t>
      </w:r>
      <w:r w:rsidRPr="00EE5500">
        <w:rPr>
          <w:rFonts w:ascii="Times New Roman" w:eastAsia="Times New Roman" w:hAnsi="Times New Roman" w:cs="Times New Roman"/>
          <w:sz w:val="24"/>
          <w:szCs w:val="24"/>
        </w:rPr>
        <w:t>52,27%. Mỗi cổ đông sở hữu 01 cổ phần sẽ có 01 quyền nhận cổ tức năm 2012 bằng cổ phiếu, cứ mỗi 10.000 quyền được nhận 5.227 cổ phần phát hành thêm. Số cổ phiếu mới nhận được sẽ làm tròn xuống hàng đơn vị và phần lẻ (nếu có) sẽ được Công ty mua lại làm cổ phiếu quỹ với giá 10.000 đồng/cổ phần. Ủy quyền cho Hội đồng quản trị xử lý cổ phiếu lẻ nếu phát sinh</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xml:space="preserve">-         </w:t>
      </w:r>
      <w:r w:rsidRPr="00EE5500">
        <w:rPr>
          <w:rFonts w:ascii="Times New Roman" w:eastAsia="Times New Roman" w:hAnsi="Times New Roman" w:cs="Times New Roman"/>
          <w:b/>
          <w:bCs/>
          <w:sz w:val="24"/>
          <w:szCs w:val="24"/>
        </w:rPr>
        <w:t xml:space="preserve">Khối lượng phát hành: </w:t>
      </w:r>
      <w:r w:rsidRPr="00EE5500">
        <w:rPr>
          <w:rFonts w:ascii="Times New Roman" w:eastAsia="Times New Roman" w:hAnsi="Times New Roman" w:cs="Times New Roman"/>
          <w:sz w:val="24"/>
          <w:szCs w:val="24"/>
        </w:rPr>
        <w:t>11.500.000 cổ phần;</w:t>
      </w:r>
      <w:r w:rsidRPr="00EE5500">
        <w:rPr>
          <w:rFonts w:ascii="Times New Roman" w:eastAsia="Times New Roman" w:hAnsi="Times New Roman" w:cs="Times New Roman"/>
          <w:b/>
          <w:bCs/>
          <w:sz w:val="24"/>
          <w:szCs w:val="24"/>
        </w:rPr>
        <w:t xml:space="preserve"> </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xml:space="preserve">-         </w:t>
      </w:r>
      <w:r w:rsidRPr="00EE5500">
        <w:rPr>
          <w:rFonts w:ascii="Times New Roman" w:eastAsia="Times New Roman" w:hAnsi="Times New Roman" w:cs="Times New Roman"/>
          <w:b/>
          <w:bCs/>
          <w:sz w:val="24"/>
          <w:szCs w:val="24"/>
        </w:rPr>
        <w:t xml:space="preserve">Nguồn vốn hợp pháp để chi trả cổ tức bằng cổ phiếu: </w:t>
      </w:r>
      <w:r w:rsidRPr="00EE5500">
        <w:rPr>
          <w:rFonts w:ascii="Times New Roman" w:eastAsia="Times New Roman" w:hAnsi="Times New Roman" w:cs="Times New Roman"/>
          <w:sz w:val="24"/>
          <w:szCs w:val="24"/>
        </w:rPr>
        <w:t>Cổ tức bằng cổ phiếu sẽ được phát hành từ nguồn lợi nhuận năm 2012 chưa phân phối thể hiện trên báo cáo tài chính năm 2012 đã kiểm toán;</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xml:space="preserve">-         </w:t>
      </w:r>
      <w:r w:rsidRPr="00EE5500">
        <w:rPr>
          <w:rFonts w:ascii="Times New Roman" w:eastAsia="Times New Roman" w:hAnsi="Times New Roman" w:cs="Times New Roman"/>
          <w:b/>
          <w:bCs/>
          <w:sz w:val="24"/>
          <w:szCs w:val="24"/>
        </w:rPr>
        <w:t xml:space="preserve">Đối tượng phát hành: </w:t>
      </w:r>
      <w:r w:rsidRPr="00EE5500">
        <w:rPr>
          <w:rFonts w:ascii="Times New Roman" w:eastAsia="Times New Roman" w:hAnsi="Times New Roman" w:cs="Times New Roman"/>
          <w:sz w:val="24"/>
          <w:szCs w:val="24"/>
        </w:rPr>
        <w:t>Cổ đông có tên trong danh sách cổ đông Công ty vào thời điểm chốt danh sách;</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xml:space="preserve">-         </w:t>
      </w:r>
      <w:r w:rsidRPr="00EE5500">
        <w:rPr>
          <w:rFonts w:ascii="Times New Roman" w:eastAsia="Times New Roman" w:hAnsi="Times New Roman" w:cs="Times New Roman"/>
          <w:b/>
          <w:bCs/>
          <w:sz w:val="24"/>
          <w:szCs w:val="24"/>
        </w:rPr>
        <w:t xml:space="preserve">Thời gian dự kiến thực hiện: </w:t>
      </w:r>
      <w:r w:rsidRPr="00EE5500">
        <w:rPr>
          <w:rFonts w:ascii="Times New Roman" w:eastAsia="Times New Roman" w:hAnsi="Times New Roman" w:cs="Times New Roman"/>
          <w:sz w:val="24"/>
          <w:szCs w:val="24"/>
        </w:rPr>
        <w:t>Ủy quyền cho Hội đồng quản trị lựa chọn thời điểm thích hợp.</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 xml:space="preserve">Đại hội đồng cổ đông thông qua ủy quyền cho Hội đổng quản trị: </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Tiến hành thực hiện thủ tục chi tiết để hoàn tất đợt phát hành;</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Sửa đổi điều lệ Công ty và thay đổi Giấy chứng nhận đăng ký doanh nghiệp phù hợp với vốn điều lệ sau khi phát hành:</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V. Góp vốn lên công ty cổ phần hóa chất Đức Giang – Lào Cai</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Do công ty cổ phần hóa chất Đức Giang – Lào Cai tăng vốn điều lệ từ 250 tỷ lên 464 tỷ cho nên Công ty cổ phần bột giặt và hóa chất Đức Giang phải góp 132.002.920.000 VND để đảm bảo tỷ lệ nắm giữ hiện tại là 61,684% vốn điều lệ DLC.Nguồn vốn góp được lấy từ các nguồn sau:</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Lợi nhuận năm 2012 được giữ lại để trả cổ tức cho công đông hiện hữu: 115.000.000.000 VND</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Lấy từ quỹ đầu tư phát triển: 17.002.920.000 VND</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lastRenderedPageBreak/>
        <w:t>VI. Lưu ký và niêm yết cổ phiếu trên thị trường chứng khoán.</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Đại hội đồng cổ đông thông qua việc lưu ký cổ phiếu của công ty tại Trung tâm lưu ký chứng khoán (VSD) và niêm yết và giao dịch cổ phần tại sở giao dịch chứng khoán Thành phố Hồ Chí Minh (HSX). Đại hội ủy quyền cho Hội đồng quản trị thực hiện chi tiết việc lưu ký và niêm yết cổ phiếu.</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VII. Lựa chọn Công ty kiểm toán năm tài chính 2013.</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Công ty TNHH Kiểm toán và Tư vấn (A&amp;C)</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Trụ sở: 229 Đồng Khởi, quận 1, thành phố Hồ Chí Minh</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Chi nhánh: 40 Giảng Võ - Đống Đa - Hà Nội</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VIII. Bầu bổ sung Ban kiểm soát</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Ông Đào Quang Toản thôi là thành viên Ban kiểm soát từ ngày 23/3/2013.</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Ông Nguyễn Tiến Khang trở thành thành viên Ban kiểm soát từ ngày 23/3/2013.</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IX. Sửa đổi điều lệ và đăng ký kinh doanh của Công ty</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Đại hội đồng cổ đông thông qua việc ủy quyền cho Hội đồng quản trị sửa đổi điều lệ và đăng ký kinh doanh phù hợp với số vốn điều lệ sau khi kết thúc đợt phát hành.</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Điều 2: Hiệu lực thi hành</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Đại hội đồng cổ đông giao cho Hội đồng quản trị, Ban giám đốc Công ty căn cứ vào các chức năng, nhiệm vụ, quyền hạn của mình chỉ đạo hoàn thành thắng lợi Nghị quyết đã được Đại hội đồng cổ đông thông qua./.</w:t>
      </w:r>
    </w:p>
    <w:tbl>
      <w:tblPr>
        <w:tblW w:w="0" w:type="auto"/>
        <w:tblCellSpacing w:w="0" w:type="dxa"/>
        <w:tblCellMar>
          <w:left w:w="0" w:type="dxa"/>
          <w:right w:w="0" w:type="dxa"/>
        </w:tblCellMar>
        <w:tblLook w:val="04A0"/>
      </w:tblPr>
      <w:tblGrid>
        <w:gridCol w:w="4682"/>
        <w:gridCol w:w="4678"/>
      </w:tblGrid>
      <w:tr w:rsidR="00EE5500" w:rsidRPr="00EE5500" w:rsidTr="00EE5500">
        <w:trPr>
          <w:tblCellSpacing w:w="0" w:type="dxa"/>
        </w:trPr>
        <w:tc>
          <w:tcPr>
            <w:tcW w:w="4785" w:type="dxa"/>
            <w:hideMark/>
          </w:tcPr>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b/>
                <w:bCs/>
                <w:i/>
                <w:iCs/>
                <w:sz w:val="24"/>
                <w:szCs w:val="24"/>
              </w:rPr>
              <w:t>Nơi nhận:</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HĐQT, BGĐ, BKS;</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Các cổ đông;</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Lưu VT, HĐQT.</w:t>
            </w:r>
          </w:p>
        </w:tc>
        <w:tc>
          <w:tcPr>
            <w:tcW w:w="4785" w:type="dxa"/>
            <w:hideMark/>
          </w:tcPr>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T/M ĐẠI HỘI ĐỒNG CỔ ĐÔNG</w:t>
            </w:r>
          </w:p>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sz w:val="24"/>
                <w:szCs w:val="24"/>
              </w:rPr>
              <w:t>CHỦ TỊCH HỘI ĐỒNG QUẢN TRỊ</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lastRenderedPageBreak/>
              <w:t> </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p w:rsidR="00EE5500" w:rsidRPr="00EE5500" w:rsidRDefault="00EE5500" w:rsidP="00EE5500">
            <w:pPr>
              <w:spacing w:before="100" w:beforeAutospacing="1" w:after="100" w:afterAutospacing="1" w:line="240" w:lineRule="auto"/>
              <w:rPr>
                <w:rFonts w:ascii="Times New Roman" w:eastAsia="Times New Roman" w:hAnsi="Times New Roman" w:cs="Times New Roman"/>
                <w:sz w:val="24"/>
                <w:szCs w:val="24"/>
              </w:rPr>
            </w:pPr>
            <w:r w:rsidRPr="00EE5500">
              <w:rPr>
                <w:rFonts w:ascii="Times New Roman" w:eastAsia="Times New Roman" w:hAnsi="Times New Roman" w:cs="Times New Roman"/>
                <w:sz w:val="24"/>
                <w:szCs w:val="24"/>
              </w:rPr>
              <w:t> </w:t>
            </w:r>
          </w:p>
          <w:p w:rsidR="00EE5500" w:rsidRPr="00EE5500" w:rsidRDefault="00EE5500" w:rsidP="00EE5500">
            <w:pPr>
              <w:spacing w:before="100" w:beforeAutospacing="1" w:after="100" w:afterAutospacing="1" w:line="240" w:lineRule="auto"/>
              <w:jc w:val="center"/>
              <w:rPr>
                <w:rFonts w:ascii="Times New Roman" w:eastAsia="Times New Roman" w:hAnsi="Times New Roman" w:cs="Times New Roman"/>
                <w:sz w:val="24"/>
                <w:szCs w:val="24"/>
              </w:rPr>
            </w:pPr>
            <w:r w:rsidRPr="00EE5500">
              <w:rPr>
                <w:rFonts w:ascii="Times New Roman" w:eastAsia="Times New Roman" w:hAnsi="Times New Roman" w:cs="Times New Roman"/>
                <w:b/>
                <w:bCs/>
                <w:i/>
                <w:iCs/>
                <w:sz w:val="24"/>
                <w:szCs w:val="24"/>
              </w:rPr>
              <w:t>Đào Hữu Huyền</w:t>
            </w:r>
          </w:p>
        </w:tc>
      </w:tr>
    </w:tbl>
    <w:p w:rsidR="00624379" w:rsidRDefault="00624379"/>
    <w:sectPr w:rsidR="006243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754F"/>
    <w:multiLevelType w:val="multilevel"/>
    <w:tmpl w:val="38B4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E93C8F"/>
    <w:multiLevelType w:val="multilevel"/>
    <w:tmpl w:val="34AAC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454279"/>
    <w:multiLevelType w:val="multilevel"/>
    <w:tmpl w:val="D32CC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0D2EEE"/>
    <w:multiLevelType w:val="multilevel"/>
    <w:tmpl w:val="33EC6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452D43"/>
    <w:multiLevelType w:val="multilevel"/>
    <w:tmpl w:val="5FCE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737BAF"/>
    <w:multiLevelType w:val="multilevel"/>
    <w:tmpl w:val="5C940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8157E2"/>
    <w:multiLevelType w:val="multilevel"/>
    <w:tmpl w:val="82E8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E17C79"/>
    <w:multiLevelType w:val="multilevel"/>
    <w:tmpl w:val="F71C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E5500"/>
    <w:rsid w:val="00624379"/>
    <w:rsid w:val="00EE5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55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55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5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5500"/>
    <w:rPr>
      <w:rFonts w:ascii="Times New Roman" w:eastAsia="Times New Roman" w:hAnsi="Times New Roman" w:cs="Times New Roman"/>
      <w:b/>
      <w:bCs/>
      <w:sz w:val="36"/>
      <w:szCs w:val="36"/>
    </w:rPr>
  </w:style>
  <w:style w:type="paragraph" w:styleId="NormalWeb">
    <w:name w:val="Normal (Web)"/>
    <w:basedOn w:val="Normal"/>
    <w:uiPriority w:val="99"/>
    <w:unhideWhenUsed/>
    <w:rsid w:val="00EE55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500"/>
    <w:rPr>
      <w:b/>
      <w:bCs/>
    </w:rPr>
  </w:style>
  <w:style w:type="character" w:styleId="Emphasis">
    <w:name w:val="Emphasis"/>
    <w:basedOn w:val="DefaultParagraphFont"/>
    <w:uiPriority w:val="20"/>
    <w:qFormat/>
    <w:rsid w:val="00EE5500"/>
    <w:rPr>
      <w:i/>
      <w:iCs/>
    </w:rPr>
  </w:style>
</w:styles>
</file>

<file path=word/webSettings.xml><?xml version="1.0" encoding="utf-8"?>
<w:webSettings xmlns:r="http://schemas.openxmlformats.org/officeDocument/2006/relationships" xmlns:w="http://schemas.openxmlformats.org/wordprocessingml/2006/main">
  <w:divs>
    <w:div w:id="9519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1271</Words>
  <Characters>7251</Characters>
  <Application>Microsoft Office Word</Application>
  <DocSecurity>0</DocSecurity>
  <Lines>60</Lines>
  <Paragraphs>17</Paragraphs>
  <ScaleCrop>false</ScaleCrop>
  <Company>Microsoft</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Tiet Tong Tuyen</dc:creator>
  <cp:keywords/>
  <dc:description/>
  <cp:lastModifiedBy>Tiet Tong Tuyen</cp:lastModifiedBy>
  <cp:revision>2</cp:revision>
  <dcterms:created xsi:type="dcterms:W3CDTF">2013-11-06T01:36:00Z</dcterms:created>
  <dcterms:modified xsi:type="dcterms:W3CDTF">2013-11-06T01:37:00Z</dcterms:modified>
</cp:coreProperties>
</file>